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Modèle de communiqué de presse : partenariat</w:t>
      </w:r>
    </w:p>
    <w:p>
      <w:pPr>
        <w:spacing w:after="200"/>
      </w:pPr>
      <w:r>
        <w:rPr>
          <w:color w:val="595959"/>
          <w:sz w:val="18"/>
          <w:szCs w:val="18"/>
          <w:rFonts w:ascii="Arial" w:cs="Arial" w:eastAsia="Arial" w:hAnsi="Arial"/>
        </w:rPr>
        <w:t xml:space="preserve">Modèle gratuit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MODÈLE À REMPLIR</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[Titre : Entreprise A + Entreprise B + le bénéfice concret du partenariat, moins de 100 caractères. Évitez les formules vagues comme « unissent leurs forces ».]</w:t>
      </w:r>
    </w:p>
    <w:p>
      <w:pPr>
        <w:spacing w:after="160"/>
        <w:jc w:val="left"/>
      </w:pPr>
      <w:r>
        <w:rPr>
          <w:b/>
          <w:bCs/>
          <w:i w:val="false"/>
          <w:iCs w:val="false"/>
          <w:sz w:val="22"/>
          <w:szCs w:val="22"/>
          <w:rFonts w:ascii="Arial" w:cs="Arial" w:eastAsia="Arial" w:hAnsi="Arial"/>
        </w:rPr>
        <w:t xml:space="preserve">[VILLE, Pays, jour mois année]</w:t>
      </w:r>
      <w:r>
        <w:rPr>
          <w:b w:val="false"/>
          <w:bCs w:val="false"/>
          <w:i w:val="false"/>
          <w:iCs w:val="false"/>
          <w:sz w:val="22"/>
          <w:szCs w:val="22"/>
          <w:rFonts w:ascii="Arial" w:cs="Arial" w:eastAsia="Arial" w:hAnsi="Arial"/>
        </w:rPr>
        <w:t xml:space="preserve"> - [Paragraphe d'accroche : qui s'associe, en quoi consiste le partenariat et pourquoi ça compte, en une à deux phrases. Rendez immédiatement clair ce qui change et qui en bénéficie.]</w:t>
      </w:r>
    </w:p>
    <w:p>
      <w:pPr>
        <w:spacing w:after="160"/>
        <w:jc w:val="left"/>
      </w:pPr>
      <w:r>
        <w:rPr>
          <w:b w:val="false"/>
          <w:bCs w:val="false"/>
          <w:i w:val="false"/>
          <w:iCs w:val="false"/>
          <w:sz w:val="22"/>
          <w:szCs w:val="22"/>
          <w:rFonts w:ascii="Arial" w:cs="Arial" w:eastAsia="Arial" w:hAnsi="Arial"/>
        </w:rPr>
        <w:t xml:space="preserve">[Paragraphe de détails : ce que chaque entreprise apporte, comment le partenariat fonctionne en pratique et ce que les utilisateurs peuvent désormais faire.]</w:t>
      </w:r>
    </w:p>
    <w:p>
      <w:pPr>
        <w:spacing w:after="160"/>
        <w:jc w:val="left"/>
      </w:pPr>
      <w:r>
        <w:rPr>
          <w:b w:val="false"/>
          <w:bCs w:val="false"/>
          <w:i w:val="false"/>
          <w:iCs w:val="false"/>
          <w:sz w:val="22"/>
          <w:szCs w:val="22"/>
          <w:rFonts w:ascii="Arial" w:cs="Arial" w:eastAsia="Arial" w:hAnsi="Arial"/>
        </w:rPr>
        <w:t xml:space="preserve">[Paragraphe d'impact client : le bénéfice concret pour les clients, avec un chiffre si possible, combien de clients sont concernés et quand le changement prend effet.]</w:t>
      </w:r>
    </w:p>
    <w:p>
      <w:pPr>
        <w:spacing w:after="160"/>
        <w:jc w:val="left"/>
      </w:pPr>
      <w:r>
        <w:rPr>
          <w:b w:val="false"/>
          <w:bCs w:val="false"/>
          <w:i w:val="false"/>
          <w:iCs w:val="false"/>
          <w:sz w:val="22"/>
          <w:szCs w:val="22"/>
          <w:rFonts w:ascii="Arial" w:cs="Arial" w:eastAsia="Arial" w:hAnsi="Arial"/>
        </w:rPr>
        <w:t xml:space="preserve">« [Citation : 30 à 40 mots d'un dirigeant de l'Entreprise A sur pourquoi le partenariat compte de son point de vue.] », déclare [Nom, Poste, Entreprise A].</w:t>
      </w:r>
    </w:p>
    <w:p>
      <w:pPr>
        <w:spacing w:after="160"/>
        <w:jc w:val="left"/>
      </w:pPr>
      <w:r>
        <w:rPr>
          <w:b w:val="false"/>
          <w:bCs w:val="false"/>
          <w:i w:val="false"/>
          <w:iCs w:val="false"/>
          <w:sz w:val="22"/>
          <w:szCs w:val="22"/>
          <w:rFonts w:ascii="Arial" w:cs="Arial" w:eastAsia="Arial" w:hAnsi="Arial"/>
        </w:rPr>
        <w:t xml:space="preserve">« [Citation : 30 à 40 mots d'un dirigeant de l'Entreprise B sur pourquoi le partenariat compte de son point de vue.] », déclare [Nom, Poste, Entreprise B].</w:t>
      </w:r>
    </w:p>
    <w:p>
      <w:pPr>
        <w:spacing w:after="160"/>
        <w:jc w:val="left"/>
      </w:pPr>
      <w:r>
        <w:rPr>
          <w:b w:val="false"/>
          <w:bCs w:val="false"/>
          <w:i w:val="false"/>
          <w:iCs w:val="false"/>
          <w:sz w:val="22"/>
          <w:szCs w:val="22"/>
          <w:rFonts w:ascii="Arial" w:cs="Arial" w:eastAsia="Arial" w:hAnsi="Arial"/>
        </w:rPr>
        <w:t xml:space="preserve">[Paragraphe de disponibilité : quand le partenariat prend effet, comment y accéder et un lien pour en savoir plus.]</w:t>
      </w:r>
    </w:p>
    <w:p>
      <w:pPr>
        <w:spacing w:before="160" w:after="80"/>
      </w:pPr>
      <w:r>
        <w:rPr>
          <w:b/>
          <w:bCs/>
          <w:sz w:val="22"/>
          <w:szCs w:val="22"/>
          <w:rFonts w:ascii="Arial" w:cs="Arial" w:eastAsia="Arial" w:hAnsi="Arial"/>
        </w:rPr>
        <w:t xml:space="preserve">À propos de [Entreprise A]</w:t>
      </w:r>
    </w:p>
    <w:p>
      <w:pPr>
        <w:spacing w:after="160"/>
        <w:jc w:val="left"/>
      </w:pPr>
      <w:r>
        <w:rPr>
          <w:b w:val="false"/>
          <w:bCs w:val="false"/>
          <w:i w:val="false"/>
          <w:iCs w:val="false"/>
          <w:sz w:val="22"/>
          <w:szCs w:val="22"/>
          <w:rFonts w:ascii="Arial" w:cs="Arial" w:eastAsia="Arial" w:hAnsi="Arial"/>
        </w:rPr>
        <w:t xml:space="preserve">[Boilerplate Entreprise A : ce qu'elle fait, année de fondation, nombre de clients, site web.]</w:t>
      </w:r>
    </w:p>
    <w:p>
      <w:pPr>
        <w:spacing w:before="160" w:after="80"/>
      </w:pPr>
      <w:r>
        <w:rPr>
          <w:b/>
          <w:bCs/>
          <w:sz w:val="22"/>
          <w:szCs w:val="22"/>
          <w:rFonts w:ascii="Arial" w:cs="Arial" w:eastAsia="Arial" w:hAnsi="Arial"/>
        </w:rPr>
        <w:t xml:space="preserve">À propos de [Entreprise B]</w:t>
      </w:r>
    </w:p>
    <w:p>
      <w:pPr>
        <w:spacing w:after="160"/>
        <w:jc w:val="left"/>
      </w:pPr>
      <w:r>
        <w:rPr>
          <w:b w:val="false"/>
          <w:bCs w:val="false"/>
          <w:i w:val="false"/>
          <w:iCs w:val="false"/>
          <w:sz w:val="22"/>
          <w:szCs w:val="22"/>
          <w:rFonts w:ascii="Arial" w:cs="Arial" w:eastAsia="Arial" w:hAnsi="Arial"/>
        </w:rPr>
        <w:t xml:space="preserve">[Boilerplate Entreprise B : ce qu'elle fait, année de fondation, nombre de clients, site web.]</w:t>
      </w:r>
    </w:p>
    <w:p>
      <w:pPr>
        <w:spacing w:before="160" w:after="80"/>
      </w:pPr>
      <w:r>
        <w:rPr>
          <w:b/>
          <w:bCs/>
          <w:sz w:val="22"/>
          <w:szCs w:val="22"/>
          <w:rFonts w:ascii="Arial" w:cs="Arial" w:eastAsia="Arial" w:hAnsi="Arial"/>
        </w:rPr>
        <w:t xml:space="preserve">Contacts presse</w:t>
      </w:r>
    </w:p>
    <w:p>
      <w:pPr>
        <w:spacing w:after="20"/>
      </w:pPr>
      <w:r>
        <w:rPr>
          <w:sz w:val="22"/>
          <w:szCs w:val="22"/>
          <w:rFonts w:ascii="Arial" w:cs="Arial" w:eastAsia="Arial" w:hAnsi="Arial"/>
        </w:rPr>
        <w:t xml:space="preserve">[Entreprise A] : [Nom, Poste, email]</w:t>
      </w:r>
    </w:p>
    <w:p>
      <w:pPr>
        <w:spacing w:after="20"/>
      </w:pPr>
      <w:r>
        <w:rPr>
          <w:sz w:val="22"/>
          <w:szCs w:val="22"/>
          <w:rFonts w:ascii="Arial" w:cs="Arial" w:eastAsia="Arial" w:hAnsi="Arial"/>
        </w:rPr>
        <w:t xml:space="preserve">[Entreprise B] : [Nom, Poste, email]</w:t>
      </w:r>
    </w:p>
    <w:p>
      <w:r>
        <w:br w:type="page"/>
      </w:r>
    </w:p>
    <w:p>
      <w:pPr>
        <w:spacing w:after="160"/>
      </w:pPr>
      <w:r>
        <w:rPr>
          <w:b/>
          <w:bCs/>
          <w:color w:val="595959"/>
          <w:sz w:val="16"/>
          <w:szCs w:val="16"/>
          <w:rFonts w:ascii="Arial" w:cs="Arial" w:eastAsia="Arial" w:hAnsi="Arial"/>
        </w:rPr>
        <w:t xml:space="preserve">EXEMPLE REMPLI</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TaskFlow et DataSync s'associent pour apporter la synchronisation de données en temps réel à la gestion de projets</w:t>
      </w:r>
    </w:p>
    <w:p>
      <w:pPr>
        <w:spacing w:after="160"/>
        <w:jc w:val="left"/>
      </w:pPr>
      <w:r>
        <w:rPr>
          <w:b/>
          <w:bCs/>
          <w:i w:val="false"/>
          <w:iCs w:val="false"/>
          <w:sz w:val="22"/>
          <w:szCs w:val="22"/>
          <w:rFonts w:ascii="Arial" w:cs="Arial" w:eastAsia="Arial" w:hAnsi="Arial"/>
        </w:rPr>
        <w:t xml:space="preserve">PARIS, France, 31 mars 2026</w:t>
      </w:r>
      <w:r>
        <w:rPr>
          <w:b w:val="false"/>
          <w:bCs w:val="false"/>
          <w:i w:val="false"/>
          <w:iCs w:val="false"/>
          <w:sz w:val="22"/>
          <w:szCs w:val="22"/>
          <w:rFonts w:ascii="Arial" w:cs="Arial" w:eastAsia="Arial" w:hAnsi="Arial"/>
        </w:rPr>
        <w:t xml:space="preserve"> - TaskFlow, plateforme de gestion de projets pour les équipes distribuées, et DataSync, fournisseur d'intégration de données en temps réel, annoncent aujourd'hui un partenariat stratégique qui apporte la synchronisation automatique des données aux plus de 15 000 clients business de TaskFlow.</w:t>
      </w:r>
    </w:p>
    <w:p>
      <w:pPr>
        <w:spacing w:after="160"/>
        <w:jc w:val="left"/>
      </w:pPr>
      <w:r>
        <w:rPr>
          <w:b w:val="false"/>
          <w:bCs w:val="false"/>
          <w:i w:val="false"/>
          <w:iCs w:val="false"/>
          <w:sz w:val="22"/>
          <w:szCs w:val="22"/>
          <w:rFonts w:ascii="Arial" w:cs="Arial" w:eastAsia="Arial" w:hAnsi="Arial"/>
        </w:rPr>
        <w:t xml:space="preserve">Grâce à cette intégration, les utilisateurs de TaskFlow peuvent désormais connecter leurs tableaux de projets directement à leurs systèmes CRM, outils d'analytics et bases de données via l'API temps réel de DataSync. Les modifications effectuées dans n'importe quel outil connecté sont reflétées dans TaskFlow en quelques secondes, éliminant la saisie manuelle et réduisant les erreurs.</w:t>
      </w:r>
    </w:p>
    <w:p>
      <w:pPr>
        <w:spacing w:after="160"/>
        <w:jc w:val="left"/>
      </w:pPr>
      <w:r>
        <w:rPr>
          <w:b w:val="false"/>
          <w:bCs w:val="false"/>
          <w:i w:val="false"/>
          <w:iCs w:val="false"/>
          <w:sz w:val="22"/>
          <w:szCs w:val="22"/>
          <w:rFonts w:ascii="Arial" w:cs="Arial" w:eastAsia="Arial" w:hAnsi="Arial"/>
        </w:rPr>
        <w:t xml:space="preserve">« Nos utilisateurs nous demandaient des intégrations plus profondes avec leurs outils existants depuis plus d'un an », déclare Anna Weber, CEO de TaskFlow. « Le partenariat avec DataSync était le choix évident. Leur technologie de synchronisation en temps réel est la meilleure du marché, et cette intégration fait de TaskFlow la plateforme de gestion de projets la plus connectée du marché. »</w:t>
      </w:r>
    </w:p>
    <w:p>
      <w:pPr>
        <w:spacing w:after="160"/>
        <w:jc w:val="left"/>
      </w:pPr>
      <w:r>
        <w:rPr>
          <w:b w:val="false"/>
          <w:bCs w:val="false"/>
          <w:i w:val="false"/>
          <w:iCs w:val="false"/>
          <w:sz w:val="22"/>
          <w:szCs w:val="22"/>
          <w:rFonts w:ascii="Arial" w:cs="Arial" w:eastAsia="Arial" w:hAnsi="Arial"/>
        </w:rPr>
        <w:t xml:space="preserve">« TaskFlow est l'une des plateformes de gestion de projets qui croît le plus vite en Europe, et sa base d'utilisateurs correspond parfaitement aux équipes qui bénéficient le plus de la synchronisation de données en temps réel », déclare Marco Silva, CTO de DataSync. « Ce partenariat nous permet d'atteindre des milliers de nouvelles équipes qui ont besoin d'un flux de données fluide dans leur stack. »</w:t>
      </w:r>
    </w:p>
    <w:p>
      <w:pPr>
        <w:spacing w:after="160"/>
        <w:jc w:val="left"/>
      </w:pPr>
      <w:r>
        <w:rPr>
          <w:b w:val="false"/>
          <w:bCs w:val="false"/>
          <w:i w:val="false"/>
          <w:iCs w:val="false"/>
          <w:sz w:val="22"/>
          <w:szCs w:val="22"/>
          <w:rFonts w:ascii="Arial" w:cs="Arial" w:eastAsia="Arial" w:hAnsi="Arial"/>
        </w:rPr>
        <w:t xml:space="preserve">L'intégration est disponible dès aujourd'hui pour tous les clients TaskFlow Pro et Enterprise sans coût supplémentaire. Les utilisateurs du plan gratuit peuvent accéder à une version limitée avec jusqu'à trois sources de données connectées. Pour en savoir plus : taskflow.io/datasync.</w:t>
      </w:r>
    </w:p>
    <w:p>
      <w:pPr>
        <w:spacing w:before="160" w:after="80"/>
      </w:pPr>
      <w:r>
        <w:rPr>
          <w:b/>
          <w:bCs/>
          <w:sz w:val="22"/>
          <w:szCs w:val="22"/>
          <w:rFonts w:ascii="Arial" w:cs="Arial" w:eastAsia="Arial" w:hAnsi="Arial"/>
        </w:rPr>
        <w:t xml:space="preserve">Contacts presse</w:t>
      </w:r>
    </w:p>
    <w:p>
      <w:pPr>
        <w:spacing w:after="20"/>
      </w:pPr>
      <w:r>
        <w:rPr>
          <w:sz w:val="22"/>
          <w:szCs w:val="22"/>
          <w:rFonts w:ascii="Arial" w:cs="Arial" w:eastAsia="Arial" w:hAnsi="Arial"/>
        </w:rPr>
        <w:t xml:space="preserve">TaskFlow : Lisa Mueller, Responsable RP, press@taskflow.io</w:t>
      </w:r>
    </w:p>
    <w:p>
      <w:pPr>
        <w:spacing w:after="20"/>
      </w:pPr>
      <w:r>
        <w:rPr>
          <w:sz w:val="22"/>
          <w:szCs w:val="22"/>
          <w:rFonts w:ascii="Arial" w:cs="Arial" w:eastAsia="Arial" w:hAnsi="Arial"/>
        </w:rPr>
        <w:t xml:space="preserve">DataSync : Tom van Dijk, Responsable Communication, media@datasync.io</w:t>
      </w:r>
    </w:p>
    <w:p>
      <w:pPr>
        <w:spacing w:before="320" w:after="160"/>
      </w:pPr>
      <w:r>
        <w:rPr>
          <w:b/>
          <w:bCs/>
          <w:sz w:val="26"/>
          <w:szCs w:val="26"/>
          <w:rFonts w:ascii="Arial" w:cs="Arial" w:eastAsia="Arial" w:hAnsi="Arial"/>
        </w:rPr>
        <w:t xml:space="preserve">Comment utiliser ce modèle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Concentrez-vous sur la valeur client. </w:t>
      </w:r>
      <w:r>
        <w:rPr>
          <w:sz w:val="22"/>
          <w:szCs w:val="22"/>
          <w:rFonts w:ascii="Arial" w:cs="Arial" w:eastAsia="Arial" w:hAnsi="Arial"/>
        </w:rPr>
        <w:t xml:space="preserve">Un partenariat n'est médiatique que s'il crée une valeur claire pour les clients. Menez avec ce que les utilisateurs peuvent désormais faire, pas avec une « vision partagée ».</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Coordonnez-vous avec votre partenaire. </w:t>
      </w:r>
      <w:r>
        <w:rPr>
          <w:sz w:val="22"/>
          <w:szCs w:val="22"/>
          <w:rFonts w:ascii="Arial" w:cs="Arial" w:eastAsia="Arial" w:hAnsi="Arial"/>
        </w:rPr>
        <w:t xml:space="preserve">Les deux entreprises doivent relire et approuver le communiqué, s'accorder sur le timing et les citations, et idéalement le diffuser le même jour.</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Donnez des détails concrets. </w:t>
      </w:r>
      <w:r>
        <w:rPr>
          <w:sz w:val="22"/>
          <w:szCs w:val="22"/>
          <w:rFonts w:ascii="Arial" w:cs="Arial" w:eastAsia="Arial" w:hAnsi="Arial"/>
        </w:rPr>
        <w:t xml:space="preserve">Dites exactement ce que le partenariat produit : une nouvelle intégration, un produit co-brandé ou une stratégie commerciale commune. Le vague ne se couvre pas.</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Montrez le bénéfice mutuel. </w:t>
      </w:r>
      <w:r>
        <w:rPr>
          <w:sz w:val="22"/>
          <w:szCs w:val="22"/>
          <w:rFonts w:ascii="Arial" w:cs="Arial" w:eastAsia="Arial" w:hAnsi="Arial"/>
        </w:rPr>
        <w:t xml:space="preserve">Expliquez pourquoi chaque entreprise a choisi l'autre. Cela aide les journalistes à comprendre la logique et à écrire un récit plus complet.</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Gagnez du temps. </w:t>
      </w:r>
      <w:r>
        <w:rPr>
          <w:sz w:val="22"/>
          <w:szCs w:val="22"/>
          <w:rFonts w:ascii="Arial" w:cs="Arial" w:eastAsia="Arial" w:hAnsi="Arial"/>
        </w:rPr>
        <w:t xml:space="preserve">Utilisez le générateur gratuit de PressPilot pour un premier jet, puis faites relire les citations et les chiffres par les deux entreprises.</w:t>
      </w:r>
    </w:p>
    <w:p>
      <w:pPr>
        <w:spacing w:before="80"/>
      </w:pPr>
      <w:r>
        <w:rPr>
          <w:color w:val="595959"/>
          <w:sz w:val="22"/>
          <w:szCs w:val="22"/>
          <w:rFonts w:ascii="Arial" w:cs="Arial" w:eastAsia="Arial" w:hAnsi="Arial"/>
        </w:rPr>
        <w:t xml:space="preserve">Besoin d'un premier jet rapide ? Générez-en un en quelques minutes avec le générateur gratuit de PressPilot, sur presspilot.io/fr/outils/generateur-communique-de-presse.</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2026-09-02T14:06:30.622Z</dcterms:created>
  <dcterms:modified xsi:type="dcterms:W3CDTF">2026-09-02T14:06:30.622Z</dcterms:modified>
</cp:coreProperties>
</file>

<file path=docProps/custom.xml><?xml version="1.0" encoding="utf-8"?>
<Properties xmlns="http://schemas.openxmlformats.org/officeDocument/2006/custom-properties" xmlns:vt="http://schemas.openxmlformats.org/officeDocument/2006/docPropsVTypes"/>
</file>